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BA68D" w14:textId="77777777" w:rsidR="00DE0BDB" w:rsidRPr="00DE0BDB" w:rsidRDefault="00DE0BDB" w:rsidP="00DE0BDB">
      <w:pPr>
        <w:widowControl/>
        <w:rPr>
          <w:rFonts w:ascii="等线" w:eastAsia="等线" w:hAnsi="等线" w:cs="宋体"/>
          <w:kern w:val="0"/>
          <w:szCs w:val="21"/>
        </w:rPr>
      </w:pPr>
      <w:r w:rsidRPr="00DE0BDB">
        <w:rPr>
          <w:rFonts w:ascii="等线" w:eastAsia="等线" w:hAnsi="等线" w:cs="宋体" w:hint="eastAsia"/>
          <w:kern w:val="0"/>
          <w:szCs w:val="21"/>
        </w:rPr>
        <w:t>Title: Efficiency Optimization in Wireless Inductive Power Transfer for Electric Vehicle Charging</w:t>
      </w:r>
    </w:p>
    <w:p w14:paraId="47513787" w14:textId="77777777" w:rsidR="00DE0BDB" w:rsidRPr="00DE0BDB" w:rsidRDefault="00DE0BDB" w:rsidP="00DE0BDB">
      <w:pPr>
        <w:widowControl/>
        <w:rPr>
          <w:rFonts w:ascii="等线" w:eastAsia="等线" w:hAnsi="等线" w:cs="宋体"/>
          <w:kern w:val="0"/>
          <w:szCs w:val="21"/>
        </w:rPr>
      </w:pPr>
      <w:r w:rsidRPr="00DE0BDB">
        <w:rPr>
          <w:rFonts w:ascii="等线" w:eastAsia="等线" w:hAnsi="等线" w:cs="宋体" w:hint="eastAsia"/>
          <w:kern w:val="0"/>
          <w:szCs w:val="21"/>
        </w:rPr>
        <w:t> </w:t>
      </w:r>
    </w:p>
    <w:p w14:paraId="11CC1AC0" w14:textId="77777777" w:rsidR="00DE0BDB" w:rsidRPr="00DE0BDB" w:rsidRDefault="00DE0BDB" w:rsidP="00DE0BDB">
      <w:pPr>
        <w:widowControl/>
        <w:rPr>
          <w:rFonts w:ascii="等线" w:eastAsia="等线" w:hAnsi="等线" w:cs="宋体"/>
          <w:kern w:val="0"/>
          <w:szCs w:val="21"/>
        </w:rPr>
      </w:pPr>
      <w:r w:rsidRPr="00DE0BDB">
        <w:rPr>
          <w:rFonts w:ascii="等线" w:eastAsia="等线" w:hAnsi="等线" w:cs="宋体" w:hint="eastAsia"/>
          <w:kern w:val="0"/>
          <w:szCs w:val="21"/>
        </w:rPr>
        <w:t xml:space="preserve">Abstract: </w:t>
      </w:r>
    </w:p>
    <w:p w14:paraId="3046D977" w14:textId="44D30BB6" w:rsidR="00DE0BDB" w:rsidRPr="00DE0BDB" w:rsidRDefault="00DE0BDB" w:rsidP="00DE0BDB">
      <w:pPr>
        <w:widowControl/>
        <w:ind w:firstLine="210"/>
        <w:rPr>
          <w:rFonts w:ascii="等线" w:eastAsia="等线" w:hAnsi="等线" w:cs="宋体"/>
          <w:kern w:val="0"/>
          <w:szCs w:val="21"/>
        </w:rPr>
      </w:pPr>
      <w:r w:rsidRPr="00DE0BDB">
        <w:rPr>
          <w:rFonts w:ascii="等线" w:eastAsia="等线" w:hAnsi="等线" w:cs="宋体" w:hint="eastAsia"/>
          <w:kern w:val="0"/>
          <w:szCs w:val="21"/>
        </w:rPr>
        <w:t>Inductive power transfer (IPT) technology can have both the transmitter and receiver insulated and contactless, and thus shows versatility in wireless electric vehicle (EV) charging under hostile environments where physical connection is inconvenient or impossible. However, it is challenging for an IPT converter to maintaining a high efficiency while complying with the charging profile of the EV battery. This tutorial starts with this challenging issue, followed by an efficiency optimization principle and several methods for good efficiency performance in wireless EV charging. These methods will share ideas of load-independent-transfer characteristics, linear transfer functions, active rectification, active compensation, and so on. A thorough introduction to these methods will be provided with an emphasis on the application of each method for high-efficiency wireless EV charging. This tutorial will touch on the topic of development for efficiency optimization in bidirectional wireless EV charging for future grid-to-vehicle and vehicle-to-grid operations. A summary and conclusions will be drawn towards the end of the tutorial.</w:t>
      </w:r>
    </w:p>
    <w:p w14:paraId="2911886B" w14:textId="77777777" w:rsidR="00DE0BDB" w:rsidRPr="00DE0BDB" w:rsidRDefault="00DE0BDB" w:rsidP="00DE0BDB">
      <w:pPr>
        <w:widowControl/>
        <w:rPr>
          <w:rFonts w:ascii="等线" w:eastAsia="等线" w:hAnsi="等线" w:cs="宋体"/>
          <w:kern w:val="0"/>
          <w:szCs w:val="21"/>
        </w:rPr>
      </w:pPr>
      <w:r w:rsidRPr="00DE0BDB">
        <w:rPr>
          <w:rFonts w:ascii="等线" w:eastAsia="等线" w:hAnsi="等线" w:cs="宋体" w:hint="eastAsia"/>
          <w:kern w:val="0"/>
          <w:szCs w:val="21"/>
        </w:rPr>
        <w:t> </w:t>
      </w:r>
    </w:p>
    <w:p w14:paraId="4BDA7D03" w14:textId="77777777" w:rsidR="007113DD" w:rsidRDefault="007113DD">
      <w:pPr>
        <w:widowControl/>
        <w:jc w:val="left"/>
        <w:rPr>
          <w:rFonts w:ascii="等线" w:eastAsia="等线" w:hAnsi="等线" w:cs="宋体"/>
          <w:kern w:val="0"/>
          <w:szCs w:val="21"/>
        </w:rPr>
      </w:pPr>
      <w:r>
        <w:rPr>
          <w:rFonts w:ascii="等线" w:eastAsia="等线" w:hAnsi="等线" w:cs="宋体"/>
          <w:kern w:val="0"/>
          <w:szCs w:val="21"/>
        </w:rPr>
        <w:br w:type="page"/>
      </w:r>
    </w:p>
    <w:p w14:paraId="20AB30B6" w14:textId="17FACA16" w:rsidR="00DE0BDB" w:rsidRDefault="00DE0BDB" w:rsidP="00DE0BDB">
      <w:pPr>
        <w:widowControl/>
        <w:rPr>
          <w:rFonts w:ascii="等线" w:eastAsia="等线" w:hAnsi="等线" w:cs="宋体"/>
          <w:kern w:val="0"/>
          <w:szCs w:val="21"/>
        </w:rPr>
      </w:pPr>
      <w:r w:rsidRPr="00DE0BDB">
        <w:rPr>
          <w:rFonts w:ascii="等线" w:eastAsia="等线" w:hAnsi="等线" w:cs="宋体" w:hint="eastAsia"/>
          <w:kern w:val="0"/>
          <w:szCs w:val="21"/>
        </w:rPr>
        <w:lastRenderedPageBreak/>
        <w:t>Bio:</w:t>
      </w:r>
    </w:p>
    <w:p w14:paraId="0B277A59" w14:textId="048D5F55" w:rsidR="007113DD" w:rsidRDefault="007113DD" w:rsidP="00DE0BDB">
      <w:pPr>
        <w:widowControl/>
        <w:rPr>
          <w:rFonts w:ascii="等线" w:eastAsia="等线" w:hAnsi="等线" w:cs="宋体"/>
          <w:kern w:val="0"/>
          <w:szCs w:val="21"/>
        </w:rPr>
      </w:pPr>
    </w:p>
    <w:p w14:paraId="3E8EFFCB" w14:textId="0EF7E644" w:rsidR="007113DD" w:rsidRDefault="007113DD" w:rsidP="00DE0BDB">
      <w:pPr>
        <w:widowControl/>
        <w:rPr>
          <w:rFonts w:ascii="等线" w:eastAsia="等线" w:hAnsi="等线" w:cs="宋体"/>
          <w:kern w:val="0"/>
          <w:szCs w:val="21"/>
        </w:rPr>
      </w:pPr>
    </w:p>
    <w:p w14:paraId="5749782C" w14:textId="3894160A" w:rsidR="007113DD" w:rsidRDefault="007113DD" w:rsidP="00DE0BDB">
      <w:pPr>
        <w:widowControl/>
        <w:rPr>
          <w:rFonts w:ascii="等线" w:eastAsia="等线" w:hAnsi="等线" w:cs="宋体"/>
          <w:kern w:val="0"/>
          <w:szCs w:val="21"/>
        </w:rPr>
      </w:pPr>
    </w:p>
    <w:p w14:paraId="241E403F" w14:textId="36A84762" w:rsidR="007113DD" w:rsidRPr="00DE0BDB" w:rsidRDefault="007113DD" w:rsidP="00DE0BDB">
      <w:pPr>
        <w:widowControl/>
        <w:rPr>
          <w:rFonts w:ascii="等线" w:eastAsia="等线" w:hAnsi="等线" w:cs="宋体" w:hint="eastAsia"/>
          <w:kern w:val="0"/>
          <w:szCs w:val="21"/>
        </w:rPr>
      </w:pPr>
      <w:r>
        <w:rPr>
          <w:rFonts w:ascii="等线" w:eastAsia="等线" w:hAnsi="等线" w:cs="宋体"/>
          <w:noProof/>
          <w:kern w:val="0"/>
          <w:szCs w:val="21"/>
        </w:rPr>
        <w:drawing>
          <wp:inline distT="0" distB="0" distL="0" distR="0" wp14:anchorId="4F269B18" wp14:editId="4E809A32">
            <wp:extent cx="1280795" cy="17379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0795" cy="1737995"/>
                    </a:xfrm>
                    <a:prstGeom prst="rect">
                      <a:avLst/>
                    </a:prstGeom>
                    <a:noFill/>
                    <a:ln>
                      <a:noFill/>
                    </a:ln>
                  </pic:spPr>
                </pic:pic>
              </a:graphicData>
            </a:graphic>
          </wp:inline>
        </w:drawing>
      </w:r>
    </w:p>
    <w:p w14:paraId="6E12B34E" w14:textId="2F4C4292" w:rsidR="007113DD" w:rsidRPr="0073488A" w:rsidRDefault="007113DD" w:rsidP="007113DD">
      <w:pPr>
        <w:widowControl/>
        <w:ind w:firstLine="210"/>
        <w:rPr>
          <w:rFonts w:ascii="等线" w:eastAsia="等线" w:hAnsi="等线" w:cs="宋体"/>
          <w:kern w:val="0"/>
          <w:szCs w:val="21"/>
        </w:rPr>
      </w:pPr>
      <w:proofErr w:type="spellStart"/>
      <w:r w:rsidRPr="0073488A">
        <w:rPr>
          <w:rFonts w:ascii="等线" w:eastAsia="等线" w:hAnsi="等线" w:cs="宋体"/>
          <w:kern w:val="0"/>
          <w:szCs w:val="21"/>
        </w:rPr>
        <w:t>Zhicong</w:t>
      </w:r>
      <w:proofErr w:type="spellEnd"/>
      <w:r w:rsidRPr="0073488A">
        <w:rPr>
          <w:rFonts w:ascii="等线" w:eastAsia="等线" w:hAnsi="等线" w:cs="宋体"/>
          <w:kern w:val="0"/>
          <w:szCs w:val="21"/>
        </w:rPr>
        <w:t xml:space="preserve"> Huang received the BSc degree in Electrical</w:t>
      </w:r>
      <w:r w:rsidRPr="0073488A">
        <w:rPr>
          <w:rFonts w:ascii="等线" w:eastAsia="等线" w:hAnsi="等线" w:cs="宋体"/>
          <w:kern w:val="0"/>
          <w:szCs w:val="21"/>
        </w:rPr>
        <w:t xml:space="preserve"> </w:t>
      </w:r>
      <w:r w:rsidRPr="0073488A">
        <w:rPr>
          <w:rFonts w:ascii="等线" w:eastAsia="等线" w:hAnsi="等线" w:cs="宋体"/>
          <w:kern w:val="0"/>
          <w:szCs w:val="21"/>
        </w:rPr>
        <w:t>Engineering and Automation and the MPhil degree in Mechanical and Electronic</w:t>
      </w:r>
      <w:r w:rsidRPr="0073488A">
        <w:rPr>
          <w:rFonts w:ascii="等线" w:eastAsia="等线" w:hAnsi="等线" w:cs="宋体"/>
          <w:kern w:val="0"/>
          <w:szCs w:val="21"/>
        </w:rPr>
        <w:t xml:space="preserve"> </w:t>
      </w:r>
      <w:r w:rsidRPr="0073488A">
        <w:rPr>
          <w:rFonts w:ascii="等线" w:eastAsia="等线" w:hAnsi="等线" w:cs="宋体"/>
          <w:kern w:val="0"/>
          <w:szCs w:val="21"/>
        </w:rPr>
        <w:t>Engineering from Huazhong University of Science and Technology, China, in 2010and 2013, respectively. He received the Ph.D. degree in Power Electronics from</w:t>
      </w:r>
      <w:r w:rsidRPr="0073488A">
        <w:rPr>
          <w:rFonts w:ascii="等线" w:eastAsia="等线" w:hAnsi="等线" w:cs="宋体"/>
          <w:kern w:val="0"/>
          <w:szCs w:val="21"/>
        </w:rPr>
        <w:t xml:space="preserve"> </w:t>
      </w:r>
      <w:r w:rsidRPr="0073488A">
        <w:rPr>
          <w:rFonts w:ascii="等线" w:eastAsia="等线" w:hAnsi="等线" w:cs="宋体"/>
          <w:kern w:val="0"/>
          <w:szCs w:val="21"/>
        </w:rPr>
        <w:t>The Hong Kong Polytechnic University, Hong Kong, in 2018. He was the recipient</w:t>
      </w:r>
      <w:r w:rsidRPr="0073488A">
        <w:rPr>
          <w:rFonts w:ascii="等线" w:eastAsia="等线" w:hAnsi="等线" w:cs="宋体"/>
          <w:kern w:val="0"/>
          <w:szCs w:val="21"/>
        </w:rPr>
        <w:t xml:space="preserve"> </w:t>
      </w:r>
      <w:r w:rsidRPr="0073488A">
        <w:rPr>
          <w:rFonts w:ascii="等线" w:eastAsia="等线" w:hAnsi="等线" w:cs="宋体"/>
          <w:kern w:val="0"/>
          <w:szCs w:val="21"/>
        </w:rPr>
        <w:t>of the UM Macao Talent Program and worked as a Postdoc Fellow in the State Key</w:t>
      </w:r>
      <w:r w:rsidRPr="0073488A">
        <w:rPr>
          <w:rFonts w:ascii="等线" w:eastAsia="等线" w:hAnsi="等线" w:cs="宋体"/>
          <w:kern w:val="0"/>
          <w:szCs w:val="21"/>
        </w:rPr>
        <w:t xml:space="preserve"> </w:t>
      </w:r>
      <w:r w:rsidRPr="0073488A">
        <w:rPr>
          <w:rFonts w:ascii="等线" w:eastAsia="等线" w:hAnsi="等线" w:cs="宋体"/>
          <w:kern w:val="0"/>
          <w:szCs w:val="21"/>
        </w:rPr>
        <w:t>Laboratory of Analog and Mixed-Signal VLSI at University of Macau, Macao, in</w:t>
      </w:r>
      <w:r w:rsidRPr="0073488A">
        <w:rPr>
          <w:rFonts w:ascii="等线" w:eastAsia="等线" w:hAnsi="等线" w:cs="宋体"/>
          <w:kern w:val="0"/>
          <w:szCs w:val="21"/>
        </w:rPr>
        <w:t xml:space="preserve"> </w:t>
      </w:r>
      <w:r w:rsidRPr="0073488A">
        <w:rPr>
          <w:rFonts w:ascii="等线" w:eastAsia="等线" w:hAnsi="等线" w:cs="宋体"/>
          <w:kern w:val="0"/>
          <w:szCs w:val="21"/>
        </w:rPr>
        <w:t>2019. Since</w:t>
      </w:r>
      <w:r w:rsidRPr="0073488A">
        <w:rPr>
          <w:rFonts w:ascii="等线" w:eastAsia="等线" w:hAnsi="等线" w:cs="宋体"/>
          <w:kern w:val="0"/>
          <w:szCs w:val="21"/>
        </w:rPr>
        <w:t xml:space="preserve"> </w:t>
      </w:r>
      <w:r w:rsidRPr="0073488A">
        <w:rPr>
          <w:rFonts w:ascii="等线" w:eastAsia="等线" w:hAnsi="等线" w:cs="宋体"/>
          <w:kern w:val="0"/>
          <w:szCs w:val="21"/>
        </w:rPr>
        <w:t xml:space="preserve">2020, he has been an Assistant Professor in the </w:t>
      </w:r>
      <w:proofErr w:type="spellStart"/>
      <w:r w:rsidRPr="0073488A">
        <w:rPr>
          <w:rFonts w:ascii="等线" w:eastAsia="等线" w:hAnsi="等线" w:cs="宋体"/>
          <w:kern w:val="0"/>
          <w:szCs w:val="21"/>
        </w:rPr>
        <w:t>Shien</w:t>
      </w:r>
      <w:proofErr w:type="spellEnd"/>
      <w:r w:rsidRPr="0073488A">
        <w:rPr>
          <w:rFonts w:ascii="等线" w:eastAsia="等线" w:hAnsi="等线" w:cs="宋体"/>
          <w:kern w:val="0"/>
          <w:szCs w:val="21"/>
        </w:rPr>
        <w:t>-Ming Wu</w:t>
      </w:r>
      <w:r w:rsidRPr="0073488A">
        <w:rPr>
          <w:rFonts w:ascii="等线" w:eastAsia="等线" w:hAnsi="等线" w:cs="宋体"/>
          <w:kern w:val="0"/>
          <w:szCs w:val="21"/>
        </w:rPr>
        <w:t xml:space="preserve"> </w:t>
      </w:r>
      <w:r w:rsidRPr="0073488A">
        <w:rPr>
          <w:rFonts w:ascii="等线" w:eastAsia="等线" w:hAnsi="等线" w:cs="宋体"/>
          <w:kern w:val="0"/>
          <w:szCs w:val="21"/>
        </w:rPr>
        <w:t>School of Intelligent Engineering at South China University of Technology.</w:t>
      </w:r>
    </w:p>
    <w:p w14:paraId="067B0FBB" w14:textId="23729357" w:rsidR="007113DD" w:rsidRPr="0073488A" w:rsidRDefault="007113DD" w:rsidP="007113DD">
      <w:pPr>
        <w:widowControl/>
        <w:ind w:firstLine="210"/>
        <w:rPr>
          <w:rFonts w:ascii="等线" w:eastAsia="等线" w:hAnsi="等线" w:cs="宋体"/>
          <w:kern w:val="0"/>
          <w:szCs w:val="21"/>
        </w:rPr>
      </w:pPr>
      <w:r w:rsidRPr="0073488A">
        <w:rPr>
          <w:rFonts w:ascii="等线" w:eastAsia="等线" w:hAnsi="等线" w:cs="宋体"/>
          <w:kern w:val="0"/>
          <w:szCs w:val="21"/>
        </w:rPr>
        <w:t>Dr. Huang has conducted extensive research on facilitating</w:t>
      </w:r>
      <w:r w:rsidRPr="0073488A">
        <w:rPr>
          <w:rFonts w:ascii="等线" w:eastAsia="等线" w:hAnsi="等线" w:cs="宋体"/>
          <w:kern w:val="0"/>
          <w:szCs w:val="21"/>
        </w:rPr>
        <w:t xml:space="preserve"> </w:t>
      </w:r>
      <w:r w:rsidRPr="0073488A">
        <w:rPr>
          <w:rFonts w:ascii="等线" w:eastAsia="等线" w:hAnsi="等线" w:cs="宋体"/>
          <w:kern w:val="0"/>
          <w:szCs w:val="21"/>
        </w:rPr>
        <w:t>the interface of wireless power transfer more robust, user-friendly, and</w:t>
      </w:r>
      <w:r w:rsidRPr="0073488A">
        <w:rPr>
          <w:rFonts w:ascii="等线" w:eastAsia="等线" w:hAnsi="等线" w:cs="宋体"/>
          <w:kern w:val="0"/>
          <w:szCs w:val="21"/>
        </w:rPr>
        <w:t xml:space="preserve"> </w:t>
      </w:r>
      <w:r w:rsidRPr="0073488A">
        <w:rPr>
          <w:rFonts w:ascii="等线" w:eastAsia="等线" w:hAnsi="等线" w:cs="宋体"/>
          <w:kern w:val="0"/>
          <w:szCs w:val="21"/>
        </w:rPr>
        <w:t>cost-effective for charging and powering electrical appliances like electric</w:t>
      </w:r>
      <w:r w:rsidRPr="0073488A">
        <w:rPr>
          <w:rFonts w:ascii="等线" w:eastAsia="等线" w:hAnsi="等线" w:cs="宋体"/>
          <w:kern w:val="0"/>
          <w:szCs w:val="21"/>
        </w:rPr>
        <w:t xml:space="preserve"> </w:t>
      </w:r>
      <w:r w:rsidRPr="0073488A">
        <w:rPr>
          <w:rFonts w:ascii="等线" w:eastAsia="等线" w:hAnsi="等线" w:cs="宋体"/>
          <w:kern w:val="0"/>
          <w:szCs w:val="21"/>
        </w:rPr>
        <w:t>vehicles, automated guided vehicles, autonomous underwater vehicles, biomedical</w:t>
      </w:r>
      <w:r w:rsidRPr="0073488A">
        <w:rPr>
          <w:rFonts w:ascii="等线" w:eastAsia="等线" w:hAnsi="等线" w:cs="宋体"/>
          <w:kern w:val="0"/>
          <w:szCs w:val="21"/>
        </w:rPr>
        <w:t xml:space="preserve"> </w:t>
      </w:r>
      <w:r w:rsidRPr="0073488A">
        <w:rPr>
          <w:rFonts w:ascii="等线" w:eastAsia="等线" w:hAnsi="等线" w:cs="宋体"/>
          <w:kern w:val="0"/>
          <w:szCs w:val="21"/>
        </w:rPr>
        <w:t>implants,</w:t>
      </w:r>
      <w:r w:rsidR="0073488A" w:rsidRPr="0073488A">
        <w:rPr>
          <w:rFonts w:ascii="等线" w:eastAsia="等线" w:hAnsi="等线" w:cs="宋体"/>
          <w:kern w:val="0"/>
          <w:szCs w:val="21"/>
        </w:rPr>
        <w:t xml:space="preserve"> etc</w:t>
      </w:r>
      <w:r w:rsidRPr="0073488A">
        <w:rPr>
          <w:rFonts w:ascii="等线" w:eastAsia="等线" w:hAnsi="等线" w:cs="宋体"/>
          <w:kern w:val="0"/>
          <w:szCs w:val="21"/>
        </w:rPr>
        <w:t>. He has received research grants from</w:t>
      </w:r>
      <w:r w:rsidRPr="0073488A">
        <w:rPr>
          <w:rFonts w:ascii="等线" w:eastAsia="等线" w:hAnsi="等线" w:cs="宋体"/>
          <w:kern w:val="0"/>
          <w:szCs w:val="21"/>
        </w:rPr>
        <w:t xml:space="preserve"> </w:t>
      </w:r>
      <w:r w:rsidRPr="0073488A">
        <w:rPr>
          <w:rFonts w:ascii="等线" w:eastAsia="等线" w:hAnsi="等线" w:cs="宋体"/>
          <w:kern w:val="0"/>
          <w:szCs w:val="21"/>
        </w:rPr>
        <w:t>National Natural Science Foundation of China, Guangzhou Municipal Science and</w:t>
      </w:r>
      <w:r w:rsidRPr="0073488A">
        <w:rPr>
          <w:rFonts w:ascii="等线" w:eastAsia="等线" w:hAnsi="等线" w:cs="宋体"/>
          <w:kern w:val="0"/>
          <w:szCs w:val="21"/>
        </w:rPr>
        <w:t xml:space="preserve"> </w:t>
      </w:r>
      <w:r w:rsidRPr="0073488A">
        <w:rPr>
          <w:rFonts w:ascii="等线" w:eastAsia="等线" w:hAnsi="等线" w:cs="宋体"/>
          <w:kern w:val="0"/>
          <w:szCs w:val="21"/>
        </w:rPr>
        <w:t>Technology Bureau, and Science and Technology Development Fund – Macao, as a principal/co-principal</w:t>
      </w:r>
      <w:r w:rsidRPr="0073488A">
        <w:rPr>
          <w:rFonts w:ascii="等线" w:eastAsia="等线" w:hAnsi="等线" w:cs="宋体"/>
          <w:kern w:val="0"/>
          <w:szCs w:val="21"/>
        </w:rPr>
        <w:t xml:space="preserve"> </w:t>
      </w:r>
      <w:r w:rsidRPr="0073488A">
        <w:rPr>
          <w:rFonts w:ascii="等线" w:eastAsia="等线" w:hAnsi="等线" w:cs="宋体"/>
          <w:kern w:val="0"/>
          <w:szCs w:val="21"/>
        </w:rPr>
        <w:t>investigator. He has authored/co-authored more than 20 technical papers. His</w:t>
      </w:r>
      <w:r w:rsidRPr="0073488A">
        <w:rPr>
          <w:rFonts w:ascii="等线" w:eastAsia="等线" w:hAnsi="等线" w:cs="宋体"/>
          <w:kern w:val="0"/>
          <w:szCs w:val="21"/>
        </w:rPr>
        <w:t xml:space="preserve"> </w:t>
      </w:r>
      <w:r w:rsidRPr="0073488A">
        <w:rPr>
          <w:rFonts w:ascii="等线" w:eastAsia="等线" w:hAnsi="等线" w:cs="宋体"/>
          <w:kern w:val="0"/>
          <w:szCs w:val="21"/>
        </w:rPr>
        <w:t>research on wireless power transfer for the exploitation of distributed photovoltaic</w:t>
      </w:r>
      <w:r w:rsidRPr="0073488A">
        <w:rPr>
          <w:rFonts w:ascii="等线" w:eastAsia="等线" w:hAnsi="等线" w:cs="宋体"/>
          <w:kern w:val="0"/>
          <w:szCs w:val="21"/>
        </w:rPr>
        <w:t xml:space="preserve"> </w:t>
      </w:r>
      <w:r w:rsidRPr="0073488A">
        <w:rPr>
          <w:rFonts w:ascii="等线" w:eastAsia="等线" w:hAnsi="等线" w:cs="宋体"/>
          <w:kern w:val="0"/>
          <w:szCs w:val="21"/>
        </w:rPr>
        <w:t>energy received the Best Track Paper Award in 2019 IEEE PES Asia-Pacific Power</w:t>
      </w:r>
      <w:r w:rsidRPr="0073488A">
        <w:rPr>
          <w:rFonts w:ascii="等线" w:eastAsia="等线" w:hAnsi="等线" w:cs="宋体"/>
          <w:kern w:val="0"/>
          <w:szCs w:val="21"/>
        </w:rPr>
        <w:t xml:space="preserve"> </w:t>
      </w:r>
      <w:r w:rsidRPr="0073488A">
        <w:rPr>
          <w:rFonts w:ascii="等线" w:eastAsia="等线" w:hAnsi="等线" w:cs="宋体"/>
          <w:kern w:val="0"/>
          <w:szCs w:val="21"/>
        </w:rPr>
        <w:t>and Energy Engineering Conference.</w:t>
      </w:r>
    </w:p>
    <w:p w14:paraId="627886AA" w14:textId="562CF0A9" w:rsidR="00DE0BDB" w:rsidRPr="0073488A" w:rsidRDefault="007113DD" w:rsidP="007113DD">
      <w:pPr>
        <w:widowControl/>
        <w:ind w:firstLine="210"/>
        <w:rPr>
          <w:rFonts w:ascii="等线" w:eastAsia="等线" w:hAnsi="等线" w:cs="宋体"/>
          <w:kern w:val="0"/>
          <w:szCs w:val="21"/>
        </w:rPr>
      </w:pPr>
      <w:r w:rsidRPr="0073488A">
        <w:rPr>
          <w:rFonts w:ascii="等线" w:eastAsia="等线" w:hAnsi="等线" w:cs="宋体"/>
          <w:kern w:val="0"/>
          <w:szCs w:val="21"/>
        </w:rPr>
        <w:t>Dr. Huang is an active IEEE member. He served as a Session</w:t>
      </w:r>
      <w:r w:rsidRPr="0073488A">
        <w:rPr>
          <w:rFonts w:ascii="等线" w:eastAsia="等线" w:hAnsi="等线" w:cs="宋体"/>
          <w:kern w:val="0"/>
          <w:szCs w:val="21"/>
        </w:rPr>
        <w:t xml:space="preserve"> </w:t>
      </w:r>
      <w:r w:rsidRPr="0073488A">
        <w:rPr>
          <w:rFonts w:ascii="等线" w:eastAsia="等线" w:hAnsi="等线" w:cs="宋体"/>
          <w:kern w:val="0"/>
          <w:szCs w:val="21"/>
        </w:rPr>
        <w:t>Chair in 2019 IEEE PES Asia-Pacific Power and Energy Engineering Conference and</w:t>
      </w:r>
      <w:r w:rsidRPr="0073488A">
        <w:rPr>
          <w:rFonts w:ascii="等线" w:eastAsia="等线" w:hAnsi="等线" w:cs="宋体"/>
          <w:kern w:val="0"/>
          <w:szCs w:val="21"/>
        </w:rPr>
        <w:t xml:space="preserve"> </w:t>
      </w:r>
      <w:r w:rsidRPr="0073488A">
        <w:rPr>
          <w:rFonts w:ascii="等线" w:eastAsia="等线" w:hAnsi="等线" w:cs="宋体"/>
          <w:kern w:val="0"/>
          <w:szCs w:val="21"/>
        </w:rPr>
        <w:t>2020</w:t>
      </w:r>
      <w:r w:rsidR="00C900CE" w:rsidRPr="0073488A">
        <w:rPr>
          <w:rFonts w:ascii="等线" w:eastAsia="等线" w:hAnsi="等线" w:cs="宋体"/>
          <w:kern w:val="0"/>
          <w:szCs w:val="21"/>
        </w:rPr>
        <w:t xml:space="preserve"> </w:t>
      </w:r>
      <w:r w:rsidRPr="0073488A">
        <w:rPr>
          <w:rFonts w:ascii="等线" w:eastAsia="等线" w:hAnsi="等线" w:cs="宋体"/>
          <w:kern w:val="0"/>
          <w:szCs w:val="21"/>
        </w:rPr>
        <w:t>Annual Conference of the IEEE Industrial</w:t>
      </w:r>
      <w:r w:rsidRPr="0073488A">
        <w:rPr>
          <w:rFonts w:ascii="等线" w:eastAsia="等线" w:hAnsi="等线" w:cs="宋体"/>
          <w:kern w:val="0"/>
          <w:szCs w:val="21"/>
        </w:rPr>
        <w:t xml:space="preserve"> </w:t>
      </w:r>
      <w:r w:rsidRPr="0073488A">
        <w:rPr>
          <w:rFonts w:ascii="等线" w:eastAsia="等线" w:hAnsi="等线" w:cs="宋体"/>
          <w:kern w:val="0"/>
          <w:szCs w:val="21"/>
        </w:rPr>
        <w:t>Electronics Society. He has been a peer reviewer for various IEEE journals,</w:t>
      </w:r>
      <w:r w:rsidRPr="0073488A">
        <w:rPr>
          <w:rFonts w:ascii="等线" w:eastAsia="等线" w:hAnsi="等线" w:cs="宋体"/>
          <w:kern w:val="0"/>
          <w:szCs w:val="21"/>
        </w:rPr>
        <w:t xml:space="preserve"> </w:t>
      </w:r>
      <w:r w:rsidRPr="0073488A">
        <w:rPr>
          <w:rFonts w:ascii="等线" w:eastAsia="等线" w:hAnsi="等线" w:cs="宋体"/>
          <w:kern w:val="0"/>
          <w:szCs w:val="21"/>
        </w:rPr>
        <w:t>including TPE, TIE, JESTPE, TVT, TCAS-I, TCAS-II, TTE, etc. He is also an IEEE Entrepreneurship</w:t>
      </w:r>
      <w:r w:rsidRPr="0073488A">
        <w:rPr>
          <w:rFonts w:ascii="等线" w:eastAsia="等线" w:hAnsi="等线" w:cs="宋体"/>
          <w:kern w:val="0"/>
          <w:szCs w:val="21"/>
        </w:rPr>
        <w:t xml:space="preserve"> </w:t>
      </w:r>
      <w:r w:rsidR="001E6FF7">
        <w:rPr>
          <w:rFonts w:ascii="等线" w:eastAsia="等线" w:hAnsi="等线" w:cs="宋体"/>
          <w:kern w:val="0"/>
          <w:szCs w:val="21"/>
        </w:rPr>
        <w:t>r</w:t>
      </w:r>
      <w:r w:rsidRPr="0073488A">
        <w:rPr>
          <w:rFonts w:ascii="等线" w:eastAsia="等线" w:hAnsi="等线" w:cs="宋体"/>
          <w:kern w:val="0"/>
          <w:szCs w:val="21"/>
        </w:rPr>
        <w:t>egional</w:t>
      </w:r>
      <w:r w:rsidR="001E6FF7">
        <w:rPr>
          <w:rFonts w:ascii="等线" w:eastAsia="等线" w:hAnsi="等线" w:cs="宋体"/>
          <w:kern w:val="0"/>
          <w:szCs w:val="21"/>
        </w:rPr>
        <w:t xml:space="preserve"> (R10) </w:t>
      </w:r>
      <w:bookmarkStart w:id="0" w:name="_GoBack"/>
      <w:bookmarkEnd w:id="0"/>
      <w:r w:rsidR="001E6FF7">
        <w:rPr>
          <w:rFonts w:ascii="等线" w:eastAsia="等线" w:hAnsi="等线" w:cs="宋体"/>
          <w:kern w:val="0"/>
          <w:szCs w:val="21"/>
        </w:rPr>
        <w:t>a</w:t>
      </w:r>
      <w:r w:rsidRPr="0073488A">
        <w:rPr>
          <w:rFonts w:ascii="等线" w:eastAsia="等线" w:hAnsi="等线" w:cs="宋体"/>
          <w:kern w:val="0"/>
          <w:szCs w:val="21"/>
        </w:rPr>
        <w:t>mbassador. His current research interests include wireless power</w:t>
      </w:r>
      <w:r w:rsidRPr="0073488A">
        <w:rPr>
          <w:rFonts w:ascii="等线" w:eastAsia="等线" w:hAnsi="等线" w:cs="宋体"/>
          <w:kern w:val="0"/>
          <w:szCs w:val="21"/>
        </w:rPr>
        <w:t xml:space="preserve"> </w:t>
      </w:r>
      <w:r w:rsidRPr="0073488A">
        <w:rPr>
          <w:rFonts w:ascii="等线" w:eastAsia="等线" w:hAnsi="等线" w:cs="宋体"/>
          <w:kern w:val="0"/>
          <w:szCs w:val="21"/>
        </w:rPr>
        <w:t>transfer, power electronics penetrated power system, charging robots,</w:t>
      </w:r>
      <w:r w:rsidR="006B5A46" w:rsidRPr="0073488A">
        <w:rPr>
          <w:rFonts w:ascii="等线" w:eastAsia="等线" w:hAnsi="等线" w:cs="宋体"/>
          <w:kern w:val="0"/>
          <w:szCs w:val="21"/>
        </w:rPr>
        <w:t xml:space="preserve"> etc</w:t>
      </w:r>
      <w:r w:rsidRPr="0073488A">
        <w:rPr>
          <w:rFonts w:ascii="等线" w:eastAsia="等线" w:hAnsi="等线" w:cs="宋体"/>
          <w:kern w:val="0"/>
          <w:szCs w:val="21"/>
        </w:rPr>
        <w:t>.</w:t>
      </w:r>
    </w:p>
    <w:sectPr w:rsidR="00DE0BDB" w:rsidRPr="007348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49E"/>
    <w:rsid w:val="001E6FF7"/>
    <w:rsid w:val="001F1A8E"/>
    <w:rsid w:val="0031612A"/>
    <w:rsid w:val="00323AD1"/>
    <w:rsid w:val="0039476D"/>
    <w:rsid w:val="00460742"/>
    <w:rsid w:val="00474B84"/>
    <w:rsid w:val="004C1A4C"/>
    <w:rsid w:val="00550573"/>
    <w:rsid w:val="005844AD"/>
    <w:rsid w:val="00646C24"/>
    <w:rsid w:val="00660862"/>
    <w:rsid w:val="006B5A46"/>
    <w:rsid w:val="007113DD"/>
    <w:rsid w:val="0073488A"/>
    <w:rsid w:val="00786734"/>
    <w:rsid w:val="009A6F9A"/>
    <w:rsid w:val="009F3F89"/>
    <w:rsid w:val="00A048FF"/>
    <w:rsid w:val="00A25DE5"/>
    <w:rsid w:val="00AD449E"/>
    <w:rsid w:val="00AE03AF"/>
    <w:rsid w:val="00BC6FA3"/>
    <w:rsid w:val="00C900CE"/>
    <w:rsid w:val="00DE0BDB"/>
    <w:rsid w:val="00ED28B4"/>
    <w:rsid w:val="00EE71C8"/>
    <w:rsid w:val="00F41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0026"/>
  <w15:chartTrackingRefBased/>
  <w15:docId w15:val="{CBB62AE9-0C32-4F93-BB01-74EA330C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70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智聪</dc:creator>
  <cp:keywords/>
  <dc:description/>
  <cp:lastModifiedBy>黄 智聪</cp:lastModifiedBy>
  <cp:revision>13</cp:revision>
  <dcterms:created xsi:type="dcterms:W3CDTF">2020-10-28T05:00:00Z</dcterms:created>
  <dcterms:modified xsi:type="dcterms:W3CDTF">2020-10-28T09:41:00Z</dcterms:modified>
</cp:coreProperties>
</file>